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2C5C2" w14:textId="77777777" w:rsidR="009F5A33" w:rsidRPr="009F5A33" w:rsidRDefault="009F5A33" w:rsidP="009F5A3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F5A33">
        <w:rPr>
          <w:rFonts w:ascii="Times New Roman" w:eastAsia="Times New Roman" w:hAnsi="Times New Roman" w:cs="Times New Roman"/>
          <w:b/>
          <w:bCs/>
          <w:kern w:val="36"/>
          <w:sz w:val="48"/>
          <w:szCs w:val="48"/>
          <w14:ligatures w14:val="none"/>
        </w:rPr>
        <w:t>Data-Driven Risk Prioritization in Cloud Security Operations Centers</w:t>
      </w:r>
    </w:p>
    <w:p w14:paraId="31499EBC"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Abstract</w:t>
      </w:r>
    </w:p>
    <w:p w14:paraId="7D2839B4" w14:textId="1E431ECC"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Cloud Security Operations Centers (Cloud SOCs) face a deluge of security alerts from distributed cloud environments, making it difficult to distinguish high-impact risks from noise. Traditional rule-based prioritization often fails to adapt to evolving threat landscapes, leading to analyst fatigue and delayed responses. This paper proposes a data-driven risk prioritization framework that leverages contextual telemetry, machine learning, and business impact analytics to dynamically rank alerts by potential risk. Drawing on modern data engineering and cloud-native observability pipelines, the paper presents architectural insights and operational strategies for next-generation Cloud SOCs [1].</w:t>
      </w:r>
    </w:p>
    <w:p w14:paraId="0B3AB0B2"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1. Introduction</w:t>
      </w:r>
    </w:p>
    <w:p w14:paraId="65994B58" w14:textId="587D2A2A"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The expansion of cloud infrastructure has transformed how organizations detect and respond to threats. As workloads migrate to multi-cloud and hybrid environments, the volume, velocity, and variety of security signals have grown exponentially. Cloud SOCs must process terabytes of logs daily</w:t>
      </w:r>
      <w:r>
        <w:rPr>
          <w:rFonts w:ascii="Times New Roman" w:eastAsia="Times New Roman" w:hAnsi="Times New Roman" w:cs="Times New Roman"/>
          <w:kern w:val="0"/>
          <w14:ligatures w14:val="none"/>
        </w:rPr>
        <w:t xml:space="preserve"> - </w:t>
      </w:r>
      <w:r w:rsidRPr="009F5A33">
        <w:rPr>
          <w:rFonts w:ascii="Times New Roman" w:eastAsia="Times New Roman" w:hAnsi="Times New Roman" w:cs="Times New Roman"/>
          <w:kern w:val="0"/>
          <w14:ligatures w14:val="none"/>
        </w:rPr>
        <w:t>from network telemetry, IAM events, API calls, and workload metrics</w:t>
      </w:r>
      <w:r>
        <w:rPr>
          <w:rFonts w:ascii="Times New Roman" w:eastAsia="Times New Roman" w:hAnsi="Times New Roman" w:cs="Times New Roman"/>
          <w:kern w:val="0"/>
          <w14:ligatures w14:val="none"/>
        </w:rPr>
        <w:t xml:space="preserve"> - </w:t>
      </w:r>
      <w:r w:rsidRPr="009F5A33">
        <w:rPr>
          <w:rFonts w:ascii="Times New Roman" w:eastAsia="Times New Roman" w:hAnsi="Times New Roman" w:cs="Times New Roman"/>
          <w:kern w:val="0"/>
          <w14:ligatures w14:val="none"/>
        </w:rPr>
        <w:t>while distinguishing benign anomalies from genuine attacks [1].</w:t>
      </w:r>
    </w:p>
    <w:p w14:paraId="44EC4F07"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However, existing rule-based and static threshold models cannot effectively prioritize risks in dynamic environments. Alerts of equal severity may have drastically different impacts depending on the asset’s criticality, exposure, or past behavior. Security teams often face “alert fatigue,” with studies showing that over 50% of alerts in enterprise SOCs go uninvestigated due to volume overload [2].</w:t>
      </w:r>
    </w:p>
    <w:p w14:paraId="035FDF55" w14:textId="04FE0B64"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A </w:t>
      </w:r>
      <w:r w:rsidRPr="009F5A33">
        <w:rPr>
          <w:rFonts w:ascii="Times New Roman" w:eastAsia="Times New Roman" w:hAnsi="Times New Roman" w:cs="Times New Roman"/>
          <w:b/>
          <w:bCs/>
          <w:kern w:val="0"/>
          <w14:ligatures w14:val="none"/>
        </w:rPr>
        <w:t>data-driven prioritization framework</w:t>
      </w:r>
      <w:r w:rsidRPr="009F5A33">
        <w:rPr>
          <w:rFonts w:ascii="Times New Roman" w:eastAsia="Times New Roman" w:hAnsi="Times New Roman" w:cs="Times New Roman"/>
          <w:kern w:val="0"/>
          <w14:ligatures w14:val="none"/>
        </w:rPr>
        <w:t xml:space="preserve">—grounded in quantitative analytics—enables Cloud SOCs to focus on incidents with the highest potential business impact. This approach uses </w:t>
      </w:r>
      <w:r w:rsidRPr="009F5A33">
        <w:rPr>
          <w:rFonts w:ascii="Times New Roman" w:eastAsia="Times New Roman" w:hAnsi="Times New Roman" w:cs="Times New Roman"/>
          <w:b/>
          <w:bCs/>
          <w:kern w:val="0"/>
          <w14:ligatures w14:val="none"/>
        </w:rPr>
        <w:t>risk scoring models</w:t>
      </w:r>
      <w:r w:rsidRPr="009F5A33">
        <w:rPr>
          <w:rFonts w:ascii="Times New Roman" w:eastAsia="Times New Roman" w:hAnsi="Times New Roman" w:cs="Times New Roman"/>
          <w:kern w:val="0"/>
          <w14:ligatures w14:val="none"/>
        </w:rPr>
        <w:t xml:space="preserve"> that combine threat intelligence, asset importance, anomaly detection, and contextual correlation to produce a ranked view of risk.</w:t>
      </w:r>
    </w:p>
    <w:p w14:paraId="1007607A"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2. Problem Statement</w:t>
      </w:r>
    </w:p>
    <w:p w14:paraId="060CDC53"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Modern Cloud SOCs suffer from four systemic challenges:</w:t>
      </w:r>
    </w:p>
    <w:p w14:paraId="366D11E0" w14:textId="77777777" w:rsidR="009F5A33" w:rsidRPr="009F5A33" w:rsidRDefault="009F5A33" w:rsidP="009F5A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Alert Overload and False Positives:</w:t>
      </w:r>
      <w:r w:rsidRPr="009F5A33">
        <w:rPr>
          <w:rFonts w:ascii="Times New Roman" w:eastAsia="Times New Roman" w:hAnsi="Times New Roman" w:cs="Times New Roman"/>
          <w:kern w:val="0"/>
          <w14:ligatures w14:val="none"/>
        </w:rPr>
        <w:t xml:space="preserve"> Cloud-native environments (Kubernetes, serverless, microservices) generate thousands of low-context alerts, overwhelming analysts.</w:t>
      </w:r>
    </w:p>
    <w:p w14:paraId="1153A149" w14:textId="77777777" w:rsidR="009F5A33" w:rsidRPr="009F5A33" w:rsidRDefault="009F5A33" w:rsidP="009F5A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Lack of Contextual Correlation:</w:t>
      </w:r>
      <w:r w:rsidRPr="009F5A33">
        <w:rPr>
          <w:rFonts w:ascii="Times New Roman" w:eastAsia="Times New Roman" w:hAnsi="Times New Roman" w:cs="Times New Roman"/>
          <w:kern w:val="0"/>
          <w14:ligatures w14:val="none"/>
        </w:rPr>
        <w:t xml:space="preserve"> Most alerts lack business or asset context, making it difficult to understand their true risk [1].</w:t>
      </w:r>
    </w:p>
    <w:p w14:paraId="505F1801" w14:textId="77777777" w:rsidR="009F5A33" w:rsidRPr="009F5A33" w:rsidRDefault="009F5A33" w:rsidP="009F5A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lastRenderedPageBreak/>
        <w:t>Static Rules and Thresholds:</w:t>
      </w:r>
      <w:r w:rsidRPr="009F5A33">
        <w:rPr>
          <w:rFonts w:ascii="Times New Roman" w:eastAsia="Times New Roman" w:hAnsi="Times New Roman" w:cs="Times New Roman"/>
          <w:kern w:val="0"/>
          <w14:ligatures w14:val="none"/>
        </w:rPr>
        <w:t xml:space="preserve"> Rule-based systems fail to adapt to evolving threats and diverse environments.</w:t>
      </w:r>
    </w:p>
    <w:p w14:paraId="6B28B7D3" w14:textId="77777777" w:rsidR="009F5A33" w:rsidRPr="009F5A33" w:rsidRDefault="009F5A33" w:rsidP="009F5A3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Reactive Operations:</w:t>
      </w:r>
      <w:r w:rsidRPr="009F5A33">
        <w:rPr>
          <w:rFonts w:ascii="Times New Roman" w:eastAsia="Times New Roman" w:hAnsi="Times New Roman" w:cs="Times New Roman"/>
          <w:kern w:val="0"/>
          <w14:ligatures w14:val="none"/>
        </w:rPr>
        <w:t xml:space="preserve"> SOCs often respond after incidents occur, rather than using predictive risk models to prevent them.</w:t>
      </w:r>
    </w:p>
    <w:p w14:paraId="54378053" w14:textId="3DB5F2EC"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These issues reduce Mean Time to Detect (MTTD) and Mean Time to Respond (MTTR) performance and impair decision-making across multi-cloud ecosystems.</w:t>
      </w:r>
    </w:p>
    <w:p w14:paraId="7042C378"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3. Data-Driven Approach</w:t>
      </w:r>
    </w:p>
    <w:p w14:paraId="79F9AEE3" w14:textId="7B108228"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A data-driven Cloud SOC uses analytics, automation, and contextual correlation to prioritize alerts based on risk probability and impact rather than simple severity tags. Figure 1 illustrates the proposed architecture for a data-driven risk prioritization framework.</w:t>
      </w:r>
    </w:p>
    <w:p w14:paraId="7AB73BCA" w14:textId="3E725927" w:rsid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Figure 1. Data-Driven Risk Prioritization Architecture</w:t>
      </w:r>
    </w:p>
    <w:p w14:paraId="01FF1703" w14:textId="6FB10928"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70528" behindDoc="0" locked="0" layoutInCell="1" allowOverlap="1" wp14:anchorId="5940383B" wp14:editId="0D6D0D5F">
                <wp:simplePos x="0" y="0"/>
                <wp:positionH relativeFrom="column">
                  <wp:posOffset>690218</wp:posOffset>
                </wp:positionH>
                <wp:positionV relativeFrom="paragraph">
                  <wp:posOffset>147320</wp:posOffset>
                </wp:positionV>
                <wp:extent cx="4367557" cy="554477"/>
                <wp:effectExtent l="0" t="0" r="13970" b="17145"/>
                <wp:wrapNone/>
                <wp:docPr id="1629894787" name="Text Box 2"/>
                <wp:cNvGraphicFramePr/>
                <a:graphic xmlns:a="http://schemas.openxmlformats.org/drawingml/2006/main">
                  <a:graphicData uri="http://schemas.microsoft.com/office/word/2010/wordprocessingShape">
                    <wps:wsp>
                      <wps:cNvSpPr txBox="1"/>
                      <wps:spPr>
                        <a:xfrm>
                          <a:off x="0" y="0"/>
                          <a:ext cx="4367557" cy="554477"/>
                        </a:xfrm>
                        <a:prstGeom prst="rect">
                          <a:avLst/>
                        </a:prstGeom>
                        <a:solidFill>
                          <a:schemeClr val="lt1"/>
                        </a:solidFill>
                        <a:ln w="6350">
                          <a:solidFill>
                            <a:prstClr val="black"/>
                          </a:solidFill>
                        </a:ln>
                      </wps:spPr>
                      <wps:txbx>
                        <w:txbxContent>
                          <w:p w14:paraId="46CE4EB4" w14:textId="7546AEB4" w:rsidR="009F5A33" w:rsidRDefault="008E1AFB" w:rsidP="008E1AFB">
                            <w:pPr>
                              <w:jc w:val="center"/>
                            </w:pPr>
                            <w:r>
                              <w:t>Cloud SOC Prioritization Stack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0383B" id="_x0000_t202" coordsize="21600,21600" o:spt="202" path="m,l,21600r21600,l21600,xe">
                <v:stroke joinstyle="miter"/>
                <v:path gradientshapeok="t" o:connecttype="rect"/>
              </v:shapetype>
              <v:shape id="Text Box 2" o:spid="_x0000_s1026" type="#_x0000_t202" style="position:absolute;margin-left:54.35pt;margin-top:11.6pt;width:343.9pt;height:43.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" fillcolor="white [3201]" strokeweight=".5pt">
                <v:textbox>
                  <w:txbxContent>
                    <w:p w14:paraId="46CE4EB4" w14:textId="7546AEB4" w:rsidR="009F5A33" w:rsidRDefault="008E1AFB" w:rsidP="008E1AFB">
                      <w:pPr>
                        <w:jc w:val="center"/>
                      </w:pPr>
                      <w:r>
                        <w:t>Cloud SOC Prioritization Stack</w:t>
                      </w:r>
                    </w:p>
                  </w:txbxContent>
                </v:textbox>
              </v:shape>
            </w:pict>
          </mc:Fallback>
        </mc:AlternateContent>
      </w:r>
    </w:p>
    <w:p w14:paraId="68CEF2BF" w14:textId="28917A67" w:rsidR="009F5A33" w:rsidRPr="009F5A33" w:rsidRDefault="009F5A33" w:rsidP="009F5A33">
      <w:pPr>
        <w:spacing w:after="0" w:line="240" w:lineRule="auto"/>
        <w:rPr>
          <w:rFonts w:ascii="Times New Roman" w:eastAsia="Times New Roman" w:hAnsi="Times New Roman" w:cs="Times New Roman"/>
          <w:kern w:val="0"/>
          <w14:ligatures w14:val="none"/>
        </w:rPr>
      </w:pPr>
    </w:p>
    <w:p w14:paraId="4225980F" w14:textId="3DB23E16" w:rsid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74624" behindDoc="0" locked="0" layoutInCell="1" allowOverlap="1" wp14:anchorId="46EDCD0F" wp14:editId="73F6BE33">
                <wp:simplePos x="0" y="0"/>
                <wp:positionH relativeFrom="column">
                  <wp:posOffset>486384</wp:posOffset>
                </wp:positionH>
                <wp:positionV relativeFrom="paragraph">
                  <wp:posOffset>472805</wp:posOffset>
                </wp:positionV>
                <wp:extent cx="4795736" cy="554477"/>
                <wp:effectExtent l="0" t="0" r="17780" b="17145"/>
                <wp:wrapNone/>
                <wp:docPr id="659091260" name="Text Box 2"/>
                <wp:cNvGraphicFramePr/>
                <a:graphic xmlns:a="http://schemas.openxmlformats.org/drawingml/2006/main">
                  <a:graphicData uri="http://schemas.microsoft.com/office/word/2010/wordprocessingShape">
                    <wps:wsp>
                      <wps:cNvSpPr txBox="1"/>
                      <wps:spPr>
                        <a:xfrm>
                          <a:off x="0" y="0"/>
                          <a:ext cx="4795736" cy="554477"/>
                        </a:xfrm>
                        <a:prstGeom prst="rect">
                          <a:avLst/>
                        </a:prstGeom>
                        <a:solidFill>
                          <a:schemeClr val="lt1"/>
                        </a:solidFill>
                        <a:ln w="6350">
                          <a:solidFill>
                            <a:prstClr val="black"/>
                          </a:solidFill>
                        </a:ln>
                      </wps:spPr>
                      <wps:txbx>
                        <w:txbxContent>
                          <w:p w14:paraId="46E7E6BB" w14:textId="00DC51EA" w:rsidR="009F5A33" w:rsidRDefault="008E1AFB" w:rsidP="008E1AFB">
                            <w:pPr>
                              <w:jc w:val="center"/>
                              <w:rPr>
                                <w:b/>
                                <w:bCs/>
                              </w:rPr>
                            </w:pPr>
                            <w:r w:rsidRPr="008E1AFB">
                              <w:rPr>
                                <w:b/>
                                <w:bCs/>
                              </w:rPr>
                              <w:t>Visualization Layer</w:t>
                            </w:r>
                          </w:p>
                          <w:p w14:paraId="537A54D4" w14:textId="0051AB01" w:rsidR="008E1AFB" w:rsidRPr="008E1AFB" w:rsidRDefault="008E1AFB" w:rsidP="008E1AFB">
                            <w:pPr>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EDCD0F" id="_x0000_s1027" type="#_x0000_t202" style="position:absolute;margin-left:38.3pt;margin-top:37.25pt;width:377.6pt;height:43.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" fillcolor="white [3201]" strokeweight=".5pt">
                <v:textbox>
                  <w:txbxContent>
                    <w:p w14:paraId="46E7E6BB" w14:textId="00DC51EA" w:rsidR="009F5A33" w:rsidRDefault="008E1AFB" w:rsidP="008E1AFB">
                      <w:pPr>
                        <w:jc w:val="center"/>
                        <w:rPr>
                          <w:b/>
                          <w:bCs/>
                        </w:rPr>
                      </w:pPr>
                      <w:r w:rsidRPr="008E1AFB">
                        <w:rPr>
                          <w:b/>
                          <w:bCs/>
                        </w:rPr>
                        <w:t>Visualization Layer</w:t>
                      </w:r>
                    </w:p>
                    <w:p w14:paraId="537A54D4" w14:textId="0051AB01" w:rsidR="008E1AFB" w:rsidRPr="008E1AFB" w:rsidRDefault="008E1AFB" w:rsidP="008E1AFB">
                      <w:pPr>
                        <w:jc w:val="center"/>
                        <w:rPr>
                          <w:b/>
                          <w:bCs/>
                        </w:rPr>
                      </w:pPr>
                    </w:p>
                  </w:txbxContent>
                </v:textbox>
              </v:shape>
            </w:pict>
          </mc:Fallback>
        </mc:AlternateContent>
      </w:r>
    </w:p>
    <w:p w14:paraId="443D4A1E" w14:textId="09412E88" w:rsid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DABD1CF" w14:textId="42B73DEC"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85888" behindDoc="0" locked="0" layoutInCell="1" allowOverlap="1" wp14:anchorId="3D2718F5" wp14:editId="5187AFC3">
                <wp:simplePos x="0" y="0"/>
                <wp:positionH relativeFrom="column">
                  <wp:posOffset>2885859</wp:posOffset>
                </wp:positionH>
                <wp:positionV relativeFrom="paragraph">
                  <wp:posOffset>96155</wp:posOffset>
                </wp:positionV>
                <wp:extent cx="0" cy="321135"/>
                <wp:effectExtent l="63500" t="0" r="38100" b="34925"/>
                <wp:wrapNone/>
                <wp:docPr id="2144392420" name="Straight Arrow Connector 3"/>
                <wp:cNvGraphicFramePr/>
                <a:graphic xmlns:a="http://schemas.openxmlformats.org/drawingml/2006/main">
                  <a:graphicData uri="http://schemas.microsoft.com/office/word/2010/wordprocessingShape">
                    <wps:wsp>
                      <wps:cNvCnPr/>
                      <wps:spPr>
                        <a:xfrm>
                          <a:off x="0" y="0"/>
                          <a:ext cx="0" cy="321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CFB862" id="_x0000_t32" coordsize="21600,21600" o:spt="32" o:oned="t" path="m,l21600,21600e" filled="f">
                <v:path arrowok="t" fillok="f" o:connecttype="none"/>
                <o:lock v:ext="edit" shapetype="t"/>
              </v:shapetype>
              <v:shape id="Straight Arrow Connector 3" o:spid="_x0000_s1026" type="#_x0000_t32" style="position:absolute;margin-left:227.25pt;margin-top:7.55pt;width:0;height:25.3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" strokecolor="#156082 [3204]" strokeweight=".5pt">
                <v:stroke endarrow="block" joinstyle="miter"/>
              </v:shape>
            </w:pict>
          </mc:Fallback>
        </mc:AlternateContent>
      </w:r>
    </w:p>
    <w:p w14:paraId="2B086333" w14:textId="24EAE475"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76672" behindDoc="0" locked="0" layoutInCell="1" allowOverlap="1" wp14:anchorId="59D02B6C" wp14:editId="3C3F768E">
                <wp:simplePos x="0" y="0"/>
                <wp:positionH relativeFrom="column">
                  <wp:posOffset>486384</wp:posOffset>
                </wp:positionH>
                <wp:positionV relativeFrom="paragraph">
                  <wp:posOffset>36181</wp:posOffset>
                </wp:positionV>
                <wp:extent cx="4795520" cy="554355"/>
                <wp:effectExtent l="0" t="0" r="17780" b="17145"/>
                <wp:wrapNone/>
                <wp:docPr id="884427490" name="Text Box 2"/>
                <wp:cNvGraphicFramePr/>
                <a:graphic xmlns:a="http://schemas.openxmlformats.org/drawingml/2006/main">
                  <a:graphicData uri="http://schemas.microsoft.com/office/word/2010/wordprocessingShape">
                    <wps:wsp>
                      <wps:cNvSpPr txBox="1"/>
                      <wps:spPr>
                        <a:xfrm>
                          <a:off x="0" y="0"/>
                          <a:ext cx="4795520" cy="554355"/>
                        </a:xfrm>
                        <a:prstGeom prst="rect">
                          <a:avLst/>
                        </a:prstGeom>
                        <a:solidFill>
                          <a:schemeClr val="lt1"/>
                        </a:solidFill>
                        <a:ln w="6350">
                          <a:solidFill>
                            <a:prstClr val="black"/>
                          </a:solidFill>
                        </a:ln>
                      </wps:spPr>
                      <wps:txbx>
                        <w:txbxContent>
                          <w:p w14:paraId="6D72F6F9" w14:textId="58C78D6D" w:rsidR="009F5A33" w:rsidRPr="008E1AFB" w:rsidRDefault="008E1AFB" w:rsidP="008E1AFB">
                            <w:pPr>
                              <w:jc w:val="center"/>
                              <w:rPr>
                                <w:b/>
                                <w:bCs/>
                              </w:rPr>
                            </w:pPr>
                            <w:r w:rsidRPr="008E1AFB">
                              <w:rPr>
                                <w:b/>
                                <w:bCs/>
                              </w:rPr>
                              <w:t>ML Based Prioritization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02B6C" id="_x0000_s1028" type="#_x0000_t202" style="position:absolute;margin-left:38.3pt;margin-top:2.85pt;width:377.6pt;height:4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" fillcolor="white [3201]" strokeweight=".5pt">
                <v:textbox>
                  <w:txbxContent>
                    <w:p w14:paraId="6D72F6F9" w14:textId="58C78D6D" w:rsidR="009F5A33" w:rsidRPr="008E1AFB" w:rsidRDefault="008E1AFB" w:rsidP="008E1AFB">
                      <w:pPr>
                        <w:jc w:val="center"/>
                        <w:rPr>
                          <w:b/>
                          <w:bCs/>
                        </w:rPr>
                      </w:pPr>
                      <w:r w:rsidRPr="008E1AFB">
                        <w:rPr>
                          <w:b/>
                          <w:bCs/>
                        </w:rPr>
                        <w:t>ML Based Prioritization</w:t>
                      </w:r>
                    </w:p>
                  </w:txbxContent>
                </v:textbox>
              </v:shape>
            </w:pict>
          </mc:Fallback>
        </mc:AlternateContent>
      </w:r>
    </w:p>
    <w:p w14:paraId="53DF0977" w14:textId="68437CDB"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87936" behindDoc="0" locked="0" layoutInCell="1" allowOverlap="1" wp14:anchorId="205A7407" wp14:editId="63D9E68D">
                <wp:simplePos x="0" y="0"/>
                <wp:positionH relativeFrom="column">
                  <wp:posOffset>2876131</wp:posOffset>
                </wp:positionH>
                <wp:positionV relativeFrom="paragraph">
                  <wp:posOffset>211981</wp:posOffset>
                </wp:positionV>
                <wp:extent cx="0" cy="321135"/>
                <wp:effectExtent l="63500" t="0" r="38100" b="34925"/>
                <wp:wrapNone/>
                <wp:docPr id="9516328" name="Straight Arrow Connector 3"/>
                <wp:cNvGraphicFramePr/>
                <a:graphic xmlns:a="http://schemas.openxmlformats.org/drawingml/2006/main">
                  <a:graphicData uri="http://schemas.microsoft.com/office/word/2010/wordprocessingShape">
                    <wps:wsp>
                      <wps:cNvCnPr/>
                      <wps:spPr>
                        <a:xfrm>
                          <a:off x="0" y="0"/>
                          <a:ext cx="0" cy="321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63FD50" id="Straight Arrow Connector 3" o:spid="_x0000_s1026" type="#_x0000_t32" style="position:absolute;margin-left:226.45pt;margin-top:16.7pt;width:0;height:25.3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" strokecolor="#156082 [3204]" strokeweight=".5pt">
                <v:stroke endarrow="block" joinstyle="miter"/>
              </v:shape>
            </w:pict>
          </mc:Fallback>
        </mc:AlternateContent>
      </w:r>
    </w:p>
    <w:p w14:paraId="337BD8C5" w14:textId="0A4FCEA9" w:rsid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78720" behindDoc="0" locked="0" layoutInCell="1" allowOverlap="1" wp14:anchorId="19C4C999" wp14:editId="4E2F5FEF">
                <wp:simplePos x="0" y="0"/>
                <wp:positionH relativeFrom="column">
                  <wp:posOffset>486384</wp:posOffset>
                </wp:positionH>
                <wp:positionV relativeFrom="paragraph">
                  <wp:posOffset>181191</wp:posOffset>
                </wp:positionV>
                <wp:extent cx="4844374" cy="554477"/>
                <wp:effectExtent l="0" t="0" r="7620" b="17145"/>
                <wp:wrapNone/>
                <wp:docPr id="467974801" name="Text Box 2"/>
                <wp:cNvGraphicFramePr/>
                <a:graphic xmlns:a="http://schemas.openxmlformats.org/drawingml/2006/main">
                  <a:graphicData uri="http://schemas.microsoft.com/office/word/2010/wordprocessingShape">
                    <wps:wsp>
                      <wps:cNvSpPr txBox="1"/>
                      <wps:spPr>
                        <a:xfrm>
                          <a:off x="0" y="0"/>
                          <a:ext cx="4844374" cy="554477"/>
                        </a:xfrm>
                        <a:prstGeom prst="rect">
                          <a:avLst/>
                        </a:prstGeom>
                        <a:solidFill>
                          <a:schemeClr val="lt1"/>
                        </a:solidFill>
                        <a:ln w="6350">
                          <a:solidFill>
                            <a:prstClr val="black"/>
                          </a:solidFill>
                        </a:ln>
                      </wps:spPr>
                      <wps:txbx>
                        <w:txbxContent>
                          <w:p w14:paraId="7B4E075C" w14:textId="1B493E12" w:rsidR="009F5A33" w:rsidRPr="008E1AFB" w:rsidRDefault="008E1AFB" w:rsidP="008E1AFB">
                            <w:pPr>
                              <w:jc w:val="center"/>
                              <w:rPr>
                                <w:b/>
                                <w:bCs/>
                              </w:rPr>
                            </w:pPr>
                            <w:r w:rsidRPr="008E1AFB">
                              <w:rPr>
                                <w:b/>
                                <w:bCs/>
                              </w:rPr>
                              <w:t>Data Correlation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4C999" id="_x0000_s1029" type="#_x0000_t202" style="position:absolute;margin-left:38.3pt;margin-top:14.25pt;width:381.45pt;height:43.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" fillcolor="white [3201]" strokeweight=".5pt">
                <v:textbox>
                  <w:txbxContent>
                    <w:p w14:paraId="7B4E075C" w14:textId="1B493E12" w:rsidR="009F5A33" w:rsidRPr="008E1AFB" w:rsidRDefault="008E1AFB" w:rsidP="008E1AFB">
                      <w:pPr>
                        <w:jc w:val="center"/>
                        <w:rPr>
                          <w:b/>
                          <w:bCs/>
                        </w:rPr>
                      </w:pPr>
                      <w:r w:rsidRPr="008E1AFB">
                        <w:rPr>
                          <w:b/>
                          <w:bCs/>
                        </w:rPr>
                        <w:t>Data Correlation</w:t>
                      </w:r>
                    </w:p>
                  </w:txbxContent>
                </v:textbox>
              </v:shape>
            </w:pict>
          </mc:Fallback>
        </mc:AlternateContent>
      </w:r>
    </w:p>
    <w:p w14:paraId="43CE7F4B" w14:textId="320B9712"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94080" behindDoc="0" locked="0" layoutInCell="1" allowOverlap="1" wp14:anchorId="4692E215" wp14:editId="04A6A12C">
                <wp:simplePos x="0" y="0"/>
                <wp:positionH relativeFrom="column">
                  <wp:posOffset>2847232</wp:posOffset>
                </wp:positionH>
                <wp:positionV relativeFrom="paragraph">
                  <wp:posOffset>374015</wp:posOffset>
                </wp:positionV>
                <wp:extent cx="0" cy="321135"/>
                <wp:effectExtent l="63500" t="0" r="38100" b="34925"/>
                <wp:wrapNone/>
                <wp:docPr id="1977214557" name="Straight Arrow Connector 3"/>
                <wp:cNvGraphicFramePr/>
                <a:graphic xmlns:a="http://schemas.openxmlformats.org/drawingml/2006/main">
                  <a:graphicData uri="http://schemas.microsoft.com/office/word/2010/wordprocessingShape">
                    <wps:wsp>
                      <wps:cNvCnPr/>
                      <wps:spPr>
                        <a:xfrm>
                          <a:off x="0" y="0"/>
                          <a:ext cx="0" cy="321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2618C4" id="Straight Arrow Connector 3" o:spid="_x0000_s1026" type="#_x0000_t32" style="position:absolute;margin-left:224.2pt;margin-top:29.45pt;width:0;height:25.3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" strokecolor="#156082 [3204]" strokeweight=".5pt">
                <v:stroke endarrow="block" joinstyle="miter"/>
              </v:shape>
            </w:pict>
          </mc:Fallback>
        </mc:AlternateContent>
      </w:r>
    </w:p>
    <w:p w14:paraId="77CBD369" w14:textId="4611FCC2"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80768" behindDoc="0" locked="0" layoutInCell="1" allowOverlap="1" wp14:anchorId="314E788B" wp14:editId="74A9A1B3">
                <wp:simplePos x="0" y="0"/>
                <wp:positionH relativeFrom="column">
                  <wp:posOffset>486383</wp:posOffset>
                </wp:positionH>
                <wp:positionV relativeFrom="paragraph">
                  <wp:posOffset>316473</wp:posOffset>
                </wp:positionV>
                <wp:extent cx="4893013" cy="505838"/>
                <wp:effectExtent l="0" t="0" r="9525" b="15240"/>
                <wp:wrapNone/>
                <wp:docPr id="1257618422" name="Text Box 2"/>
                <wp:cNvGraphicFramePr/>
                <a:graphic xmlns:a="http://schemas.openxmlformats.org/drawingml/2006/main">
                  <a:graphicData uri="http://schemas.microsoft.com/office/word/2010/wordprocessingShape">
                    <wps:wsp>
                      <wps:cNvSpPr txBox="1"/>
                      <wps:spPr>
                        <a:xfrm>
                          <a:off x="0" y="0"/>
                          <a:ext cx="4893013" cy="505838"/>
                        </a:xfrm>
                        <a:prstGeom prst="rect">
                          <a:avLst/>
                        </a:prstGeom>
                        <a:solidFill>
                          <a:schemeClr val="lt1"/>
                        </a:solidFill>
                        <a:ln w="6350">
                          <a:solidFill>
                            <a:prstClr val="black"/>
                          </a:solidFill>
                        </a:ln>
                      </wps:spPr>
                      <wps:txbx>
                        <w:txbxContent>
                          <w:p w14:paraId="41F55EBE" w14:textId="3970504D" w:rsidR="009F5A33" w:rsidRPr="008E1AFB" w:rsidRDefault="008E1AFB" w:rsidP="008E1AFB">
                            <w:pPr>
                              <w:jc w:val="center"/>
                              <w:rPr>
                                <w:b/>
                                <w:bCs/>
                              </w:rPr>
                            </w:pPr>
                            <w:r w:rsidRPr="008E1AFB">
                              <w:rPr>
                                <w:b/>
                                <w:bCs/>
                              </w:rPr>
                              <w:t>Data Processing 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E788B" id="_x0000_s1030" type="#_x0000_t202" style="position:absolute;margin-left:38.3pt;margin-top:24.9pt;width:385.3pt;height:39.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" fillcolor="white [3201]" strokeweight=".5pt">
                <v:textbox>
                  <w:txbxContent>
                    <w:p w14:paraId="41F55EBE" w14:textId="3970504D" w:rsidR="009F5A33" w:rsidRPr="008E1AFB" w:rsidRDefault="008E1AFB" w:rsidP="008E1AFB">
                      <w:pPr>
                        <w:jc w:val="center"/>
                        <w:rPr>
                          <w:b/>
                          <w:bCs/>
                        </w:rPr>
                      </w:pPr>
                      <w:r w:rsidRPr="008E1AFB">
                        <w:rPr>
                          <w:b/>
                          <w:bCs/>
                        </w:rPr>
                        <w:t>Data Processing Layer</w:t>
                      </w:r>
                    </w:p>
                  </w:txbxContent>
                </v:textbox>
              </v:shape>
            </w:pict>
          </mc:Fallback>
        </mc:AlternateContent>
      </w:r>
    </w:p>
    <w:p w14:paraId="2FDA7827" w14:textId="0B7E41EC" w:rsid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8564F16" w14:textId="05B3A5D2"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96128" behindDoc="0" locked="0" layoutInCell="1" allowOverlap="1" wp14:anchorId="06157130" wp14:editId="0FEFDB4A">
                <wp:simplePos x="0" y="0"/>
                <wp:positionH relativeFrom="column">
                  <wp:posOffset>2866782</wp:posOffset>
                </wp:positionH>
                <wp:positionV relativeFrom="paragraph">
                  <wp:posOffset>117110</wp:posOffset>
                </wp:positionV>
                <wp:extent cx="0" cy="321135"/>
                <wp:effectExtent l="63500" t="0" r="38100" b="34925"/>
                <wp:wrapNone/>
                <wp:docPr id="792578395" name="Straight Arrow Connector 3"/>
                <wp:cNvGraphicFramePr/>
                <a:graphic xmlns:a="http://schemas.openxmlformats.org/drawingml/2006/main">
                  <a:graphicData uri="http://schemas.microsoft.com/office/word/2010/wordprocessingShape">
                    <wps:wsp>
                      <wps:cNvCnPr/>
                      <wps:spPr>
                        <a:xfrm>
                          <a:off x="0" y="0"/>
                          <a:ext cx="0" cy="3211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F8F17C" id="Straight Arrow Connector 3" o:spid="_x0000_s1026" type="#_x0000_t32" style="position:absolute;margin-left:225.75pt;margin-top:9.2pt;width:0;height:2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" strokecolor="#156082 [3204]" strokeweight=".5pt">
                <v:stroke endarrow="block" joinstyle="miter"/>
              </v:shape>
            </w:pict>
          </mc:Fallback>
        </mc:AlternateContent>
      </w:r>
    </w:p>
    <w:p w14:paraId="194C0450" w14:textId="3F6AE024" w:rsidR="009F5A33" w:rsidRDefault="008E1AFB"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noProof/>
          <w:kern w:val="0"/>
          <w:sz w:val="27"/>
          <w:szCs w:val="27"/>
        </w:rPr>
        <mc:AlternateContent>
          <mc:Choice Requires="wps">
            <w:drawing>
              <wp:anchor distT="0" distB="0" distL="114300" distR="114300" simplePos="0" relativeHeight="251682816" behindDoc="0" locked="0" layoutInCell="1" allowOverlap="1" wp14:anchorId="74F5E7E3" wp14:editId="5D62AA9E">
                <wp:simplePos x="0" y="0"/>
                <wp:positionH relativeFrom="column">
                  <wp:posOffset>486383</wp:posOffset>
                </wp:positionH>
                <wp:positionV relativeFrom="paragraph">
                  <wp:posOffset>67379</wp:posOffset>
                </wp:positionV>
                <wp:extent cx="4892661" cy="389106"/>
                <wp:effectExtent l="0" t="0" r="10160" b="17780"/>
                <wp:wrapNone/>
                <wp:docPr id="550956268" name="Text Box 2"/>
                <wp:cNvGraphicFramePr/>
                <a:graphic xmlns:a="http://schemas.openxmlformats.org/drawingml/2006/main">
                  <a:graphicData uri="http://schemas.microsoft.com/office/word/2010/wordprocessingShape">
                    <wps:wsp>
                      <wps:cNvSpPr txBox="1"/>
                      <wps:spPr>
                        <a:xfrm>
                          <a:off x="0" y="0"/>
                          <a:ext cx="4892661" cy="389106"/>
                        </a:xfrm>
                        <a:prstGeom prst="rect">
                          <a:avLst/>
                        </a:prstGeom>
                        <a:solidFill>
                          <a:schemeClr val="lt1"/>
                        </a:solidFill>
                        <a:ln w="6350">
                          <a:solidFill>
                            <a:prstClr val="black"/>
                          </a:solidFill>
                        </a:ln>
                      </wps:spPr>
                      <wps:txbx>
                        <w:txbxContent>
                          <w:p w14:paraId="56CCBC2E" w14:textId="0BF52239" w:rsidR="009F5A33" w:rsidRPr="008E1AFB" w:rsidRDefault="008E1AFB" w:rsidP="008E1AFB">
                            <w:pPr>
                              <w:jc w:val="center"/>
                              <w:rPr>
                                <w:b/>
                                <w:bCs/>
                              </w:rPr>
                            </w:pPr>
                            <w:r w:rsidRPr="008E1AFB">
                              <w:rPr>
                                <w:b/>
                                <w:bCs/>
                              </w:rPr>
                              <w:t>Ingestion 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5E7E3" id="_x0000_s1031" type="#_x0000_t202" style="position:absolute;margin-left:38.3pt;margin-top:5.3pt;width:385.25pt;height:3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" fillcolor="white [3201]" strokeweight=".5pt">
                <v:textbox>
                  <w:txbxContent>
                    <w:p w14:paraId="56CCBC2E" w14:textId="0BF52239" w:rsidR="009F5A33" w:rsidRPr="008E1AFB" w:rsidRDefault="008E1AFB" w:rsidP="008E1AFB">
                      <w:pPr>
                        <w:jc w:val="center"/>
                        <w:rPr>
                          <w:b/>
                          <w:bCs/>
                        </w:rPr>
                      </w:pPr>
                      <w:r w:rsidRPr="008E1AFB">
                        <w:rPr>
                          <w:b/>
                          <w:bCs/>
                        </w:rPr>
                        <w:t>Ingestion Layer</w:t>
                      </w:r>
                    </w:p>
                  </w:txbxContent>
                </v:textbox>
              </v:shape>
            </w:pict>
          </mc:Fallback>
        </mc:AlternateContent>
      </w:r>
    </w:p>
    <w:p w14:paraId="18ADE7D6" w14:textId="0F40AE49" w:rsid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6437030" w14:textId="144E3E04"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lastRenderedPageBreak/>
        <w:t>3.1 Data Ingestion and Normalization</w:t>
      </w:r>
    </w:p>
    <w:p w14:paraId="4433C35E"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Security telemetry originates from diverse cloud sources—infrastructure logs (e.g., CloudTrail, VPC Flow, Azure Activity Logs), application logs, and threat intelligence feeds. These heterogeneous datasets must be normalized into a common schema such as </w:t>
      </w:r>
      <w:proofErr w:type="spellStart"/>
      <w:r w:rsidRPr="009F5A33">
        <w:rPr>
          <w:rFonts w:ascii="Times New Roman" w:eastAsia="Times New Roman" w:hAnsi="Times New Roman" w:cs="Times New Roman"/>
          <w:kern w:val="0"/>
          <w14:ligatures w14:val="none"/>
        </w:rPr>
        <w:t>OpenTelemetry</w:t>
      </w:r>
      <w:proofErr w:type="spellEnd"/>
      <w:r w:rsidRPr="009F5A33">
        <w:rPr>
          <w:rFonts w:ascii="Times New Roman" w:eastAsia="Times New Roman" w:hAnsi="Times New Roman" w:cs="Times New Roman"/>
          <w:kern w:val="0"/>
          <w14:ligatures w14:val="none"/>
        </w:rPr>
        <w:t xml:space="preserve"> or ECS format [2].</w:t>
      </w:r>
    </w:p>
    <w:p w14:paraId="3663AED0" w14:textId="1B5BB686"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A distributed data pipeline using Kafka or OCI Streaming supports real-time ingestion, while feature stores retain enriched data for machine learning (ML) models.</w:t>
      </w:r>
    </w:p>
    <w:p w14:paraId="293631E3"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3.2 Contextual Enrichment</w:t>
      </w:r>
    </w:p>
    <w:p w14:paraId="1F24A084"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Raw alerts gain meaning when combined with </w:t>
      </w:r>
      <w:r w:rsidRPr="009F5A33">
        <w:rPr>
          <w:rFonts w:ascii="Times New Roman" w:eastAsia="Times New Roman" w:hAnsi="Times New Roman" w:cs="Times New Roman"/>
          <w:b/>
          <w:bCs/>
          <w:kern w:val="0"/>
          <w14:ligatures w14:val="none"/>
        </w:rPr>
        <w:t>asset and identity context</w:t>
      </w:r>
      <w:r w:rsidRPr="009F5A33">
        <w:rPr>
          <w:rFonts w:ascii="Times New Roman" w:eastAsia="Times New Roman" w:hAnsi="Times New Roman" w:cs="Times New Roman"/>
          <w:kern w:val="0"/>
          <w14:ligatures w14:val="none"/>
        </w:rPr>
        <w:t xml:space="preserve"> [1]:</w:t>
      </w:r>
    </w:p>
    <w:p w14:paraId="5B2EB3A1" w14:textId="77777777" w:rsidR="009F5A33" w:rsidRPr="009F5A33" w:rsidRDefault="009F5A33" w:rsidP="009F5A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Asset classification (production vs. test, internet-facing vs. internal)</w:t>
      </w:r>
    </w:p>
    <w:p w14:paraId="29AE12DD" w14:textId="77777777" w:rsidR="009F5A33" w:rsidRPr="009F5A33" w:rsidRDefault="009F5A33" w:rsidP="009F5A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User risk score (privileged vs. standard)</w:t>
      </w:r>
    </w:p>
    <w:p w14:paraId="161666EE" w14:textId="77777777" w:rsidR="009F5A33" w:rsidRPr="009F5A33" w:rsidRDefault="009F5A33" w:rsidP="009F5A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Historical incident frequency</w:t>
      </w:r>
    </w:p>
    <w:p w14:paraId="7477663D" w14:textId="77777777" w:rsidR="009F5A33" w:rsidRPr="009F5A33" w:rsidRDefault="009F5A33" w:rsidP="009F5A3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Data sensitivity classification (PII, financial, confidential)</w:t>
      </w:r>
    </w:p>
    <w:p w14:paraId="6D710C9E" w14:textId="50F99C73"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This contextual metadata is maintained in a </w:t>
      </w:r>
      <w:r w:rsidRPr="009F5A33">
        <w:rPr>
          <w:rFonts w:ascii="Times New Roman" w:eastAsia="Times New Roman" w:hAnsi="Times New Roman" w:cs="Times New Roman"/>
          <w:b/>
          <w:bCs/>
          <w:kern w:val="0"/>
          <w14:ligatures w14:val="none"/>
        </w:rPr>
        <w:t>Knowledge Graph</w:t>
      </w:r>
      <w:r w:rsidRPr="009F5A33">
        <w:rPr>
          <w:rFonts w:ascii="Times New Roman" w:eastAsia="Times New Roman" w:hAnsi="Times New Roman" w:cs="Times New Roman"/>
          <w:kern w:val="0"/>
          <w14:ligatures w14:val="none"/>
        </w:rPr>
        <w:t>, linking events, users, and systems into an interrelated structure. This allows the model to assess whether a “failed login” on a production database from an unknown IP is more critical than the same event on a test VM.</w:t>
      </w:r>
    </w:p>
    <w:p w14:paraId="24FE07E1"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3.3 Machine Learning for Prioritization</w:t>
      </w:r>
    </w:p>
    <w:p w14:paraId="40810D98"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The enriched dataset becomes the foundation for supervised or unsupervised ML models:</w:t>
      </w:r>
    </w:p>
    <w:p w14:paraId="31F3454E" w14:textId="77777777" w:rsidR="009F5A33" w:rsidRPr="009F5A33" w:rsidRDefault="009F5A33" w:rsidP="009F5A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Clustering (K-Means, DBSCAN):</w:t>
      </w:r>
      <w:r w:rsidRPr="009F5A33">
        <w:rPr>
          <w:rFonts w:ascii="Times New Roman" w:eastAsia="Times New Roman" w:hAnsi="Times New Roman" w:cs="Times New Roman"/>
          <w:kern w:val="0"/>
          <w14:ligatures w14:val="none"/>
        </w:rPr>
        <w:t xml:space="preserve"> Groups alerts based on behavioral similarity to identify abnormal clusters.</w:t>
      </w:r>
    </w:p>
    <w:p w14:paraId="5CB686F1" w14:textId="77777777" w:rsidR="009F5A33" w:rsidRPr="009F5A33" w:rsidRDefault="009F5A33" w:rsidP="009F5A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Anomaly Detection:</w:t>
      </w:r>
      <w:r w:rsidRPr="009F5A33">
        <w:rPr>
          <w:rFonts w:ascii="Times New Roman" w:eastAsia="Times New Roman" w:hAnsi="Times New Roman" w:cs="Times New Roman"/>
          <w:kern w:val="0"/>
          <w14:ligatures w14:val="none"/>
        </w:rPr>
        <w:t xml:space="preserve"> Detects deviations from baseline user or resource activity.</w:t>
      </w:r>
    </w:p>
    <w:p w14:paraId="6163C1F0" w14:textId="77777777" w:rsidR="009F5A33" w:rsidRPr="009F5A33" w:rsidRDefault="009F5A33" w:rsidP="009F5A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Regression Models:</w:t>
      </w:r>
      <w:r w:rsidRPr="009F5A33">
        <w:rPr>
          <w:rFonts w:ascii="Times New Roman" w:eastAsia="Times New Roman" w:hAnsi="Times New Roman" w:cs="Times New Roman"/>
          <w:kern w:val="0"/>
          <w14:ligatures w14:val="none"/>
        </w:rPr>
        <w:t xml:space="preserve"> Estimate a </w:t>
      </w:r>
      <w:r w:rsidRPr="009F5A33">
        <w:rPr>
          <w:rFonts w:ascii="Times New Roman" w:eastAsia="Times New Roman" w:hAnsi="Times New Roman" w:cs="Times New Roman"/>
          <w:b/>
          <w:bCs/>
          <w:kern w:val="0"/>
          <w14:ligatures w14:val="none"/>
        </w:rPr>
        <w:t>risk score</w:t>
      </w:r>
      <w:r w:rsidRPr="009F5A33">
        <w:rPr>
          <w:rFonts w:ascii="Times New Roman" w:eastAsia="Times New Roman" w:hAnsi="Times New Roman" w:cs="Times New Roman"/>
          <w:kern w:val="0"/>
          <w14:ligatures w14:val="none"/>
        </w:rPr>
        <w:t xml:space="preserve"> (0–100) by learning from historical incident outcomes.</w:t>
      </w:r>
    </w:p>
    <w:p w14:paraId="4B13EDBA" w14:textId="77777777" w:rsidR="009F5A33" w:rsidRPr="009F5A33" w:rsidRDefault="009F5A33" w:rsidP="009F5A3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Reinforcement Learning:</w:t>
      </w:r>
      <w:r w:rsidRPr="009F5A33">
        <w:rPr>
          <w:rFonts w:ascii="Times New Roman" w:eastAsia="Times New Roman" w:hAnsi="Times New Roman" w:cs="Times New Roman"/>
          <w:kern w:val="0"/>
          <w14:ligatures w14:val="none"/>
        </w:rPr>
        <w:t xml:space="preserve"> Dynamically adjusts prioritization weights (e.g., CVSS score × asset sensitivity × threat likelihood).</w:t>
      </w:r>
    </w:p>
    <w:p w14:paraId="0054F3D0" w14:textId="2C0FBF4E"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Risk scores are continuously recalculated as new telemetry flows in. The SOC dashboard surfaces only top-tier incidents for immediate review, improving signal-to-noise ratio by 70–80% [2].</w:t>
      </w:r>
    </w:p>
    <w:p w14:paraId="561A18ED"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4. Framework for Risk Scoring</w:t>
      </w:r>
    </w:p>
    <w:p w14:paraId="423B15F0"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The framework uses a multi-factor risk function:</w:t>
      </w:r>
    </w:p>
    <w:p w14:paraId="6FC5783E" w14:textId="77777777" w:rsidR="009F5A33" w:rsidRPr="009F5A33" w:rsidRDefault="009F5A33" w:rsidP="009F5A33">
      <w:pPr>
        <w:spacing w:after="0" w:line="240" w:lineRule="auto"/>
        <w:rPr>
          <w:rFonts w:ascii="Times New Roman" w:eastAsia="Times New Roman" w:hAnsi="Times New Roman" w:cs="Times New Roman"/>
          <w:kern w:val="0"/>
          <w14:ligatures w14:val="none"/>
        </w:rPr>
      </w:pPr>
      <m:oMathPara>
        <m:oMath>
          <m:r>
            <m:rPr>
              <m:nor/>
            </m:rPr>
            <w:rPr>
              <w:rFonts w:ascii="Times New Roman" w:eastAsia="Times New Roman" w:hAnsi="Times New Roman" w:cs="Times New Roman"/>
              <w:kern w:val="0"/>
              <w14:ligatures w14:val="none"/>
            </w:rPr>
            <m:t>Risk Score</m:t>
          </m:r>
          <m:r>
            <w:rPr>
              <w:rFonts w:ascii="Cambria Math" w:eastAsia="Times New Roman" w:hAnsi="Cambria Math" w:cs="Times New Roman"/>
              <w:kern w:val="0"/>
              <w14:ligatures w14:val="none"/>
            </w:rPr>
            <m:t>=f(T,A,C,I,H)</m:t>
          </m:r>
          <m:r>
            <w:rPr>
              <w:rFonts w:ascii="Cambria Math" w:eastAsia="Times New Roman" w:hAnsi="Cambria Math" w:cs="Times New Roman"/>
              <w:i/>
              <w:kern w:val="0"/>
              <w14:ligatures w14:val="none"/>
            </w:rPr>
            <w:br/>
          </m:r>
        </m:oMath>
      </m:oMathPara>
    </w:p>
    <w:p w14:paraId="05A2DD7C"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lastRenderedPageBreak/>
        <w:t>Where:</w:t>
      </w:r>
    </w:p>
    <w:p w14:paraId="5417945E" w14:textId="77777777" w:rsidR="009F5A33" w:rsidRPr="009F5A33" w:rsidRDefault="009F5A33" w:rsidP="009F5A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T</w:t>
      </w:r>
      <w:r w:rsidRPr="009F5A33">
        <w:rPr>
          <w:rFonts w:ascii="Times New Roman" w:eastAsia="Times New Roman" w:hAnsi="Times New Roman" w:cs="Times New Roman"/>
          <w:kern w:val="0"/>
          <w14:ligatures w14:val="none"/>
        </w:rPr>
        <w:t xml:space="preserve"> = Threat Likelihood (based on indicators or behavioral anomalies)</w:t>
      </w:r>
    </w:p>
    <w:p w14:paraId="27A3CE70" w14:textId="77777777" w:rsidR="009F5A33" w:rsidRPr="009F5A33" w:rsidRDefault="009F5A33" w:rsidP="009F5A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A</w:t>
      </w:r>
      <w:r w:rsidRPr="009F5A33">
        <w:rPr>
          <w:rFonts w:ascii="Times New Roman" w:eastAsia="Times New Roman" w:hAnsi="Times New Roman" w:cs="Times New Roman"/>
          <w:kern w:val="0"/>
          <w14:ligatures w14:val="none"/>
        </w:rPr>
        <w:t xml:space="preserve"> = Asset Criticality (importance to business or production)</w:t>
      </w:r>
    </w:p>
    <w:p w14:paraId="523374EE" w14:textId="77777777" w:rsidR="009F5A33" w:rsidRPr="009F5A33" w:rsidRDefault="009F5A33" w:rsidP="009F5A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C</w:t>
      </w:r>
      <w:r w:rsidRPr="009F5A33">
        <w:rPr>
          <w:rFonts w:ascii="Times New Roman" w:eastAsia="Times New Roman" w:hAnsi="Times New Roman" w:cs="Times New Roman"/>
          <w:kern w:val="0"/>
          <w14:ligatures w14:val="none"/>
        </w:rPr>
        <w:t xml:space="preserve"> = Compromise Probability (vulnerability exposure, patch status)</w:t>
      </w:r>
    </w:p>
    <w:p w14:paraId="1B19AAED" w14:textId="77777777" w:rsidR="009F5A33" w:rsidRPr="009F5A33" w:rsidRDefault="009F5A33" w:rsidP="009F5A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I</w:t>
      </w:r>
      <w:r w:rsidRPr="009F5A33">
        <w:rPr>
          <w:rFonts w:ascii="Times New Roman" w:eastAsia="Times New Roman" w:hAnsi="Times New Roman" w:cs="Times New Roman"/>
          <w:kern w:val="0"/>
          <w14:ligatures w14:val="none"/>
        </w:rPr>
        <w:t xml:space="preserve"> = Incident Correlation (connections to other events or lateral movement)</w:t>
      </w:r>
    </w:p>
    <w:p w14:paraId="42BEFF1E" w14:textId="77777777" w:rsidR="009F5A33" w:rsidRPr="009F5A33" w:rsidRDefault="009F5A33" w:rsidP="009F5A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H</w:t>
      </w:r>
      <w:r w:rsidRPr="009F5A33">
        <w:rPr>
          <w:rFonts w:ascii="Times New Roman" w:eastAsia="Times New Roman" w:hAnsi="Times New Roman" w:cs="Times New Roman"/>
          <w:kern w:val="0"/>
          <w14:ligatures w14:val="none"/>
        </w:rPr>
        <w:t xml:space="preserve"> = Historical Impact (previous incidents or financial damage)</w:t>
      </w:r>
    </w:p>
    <w:p w14:paraId="300FA434" w14:textId="4EF99E9E"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Each factor is normalized between 0 and 1 and weighted dynamically based on business rules or reinforcement feedback. For instance, a spike in lateral movement attempts on high-criticality assets yields a higher cumulative risk score [1].</w:t>
      </w:r>
    </w:p>
    <w:p w14:paraId="631B2279"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5. Implementation Blueprint</w:t>
      </w:r>
    </w:p>
    <w:p w14:paraId="23067604"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Step 1: Data Pipeline Setup</w:t>
      </w:r>
    </w:p>
    <w:p w14:paraId="49EA4D2C"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Deploy streaming data ingestion using managed services such as OCI Streaming or AWS Kinesis. Ingest events from SIEMs, identity logs, and endpoint detectors [2].</w:t>
      </w:r>
    </w:p>
    <w:p w14:paraId="3C9F6308"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Step 2: Feature Engineering</w:t>
      </w:r>
    </w:p>
    <w:p w14:paraId="49A6FFC6"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Use Spark, Flink, or </w:t>
      </w:r>
      <w:proofErr w:type="spellStart"/>
      <w:r w:rsidRPr="009F5A33">
        <w:rPr>
          <w:rFonts w:ascii="Times New Roman" w:eastAsia="Times New Roman" w:hAnsi="Times New Roman" w:cs="Times New Roman"/>
          <w:kern w:val="0"/>
          <w14:ligatures w14:val="none"/>
        </w:rPr>
        <w:t>BigQuery</w:t>
      </w:r>
      <w:proofErr w:type="spellEnd"/>
      <w:r w:rsidRPr="009F5A33">
        <w:rPr>
          <w:rFonts w:ascii="Times New Roman" w:eastAsia="Times New Roman" w:hAnsi="Times New Roman" w:cs="Times New Roman"/>
          <w:kern w:val="0"/>
          <w14:ligatures w14:val="none"/>
        </w:rPr>
        <w:t xml:space="preserve"> to generate features such as login frequency, access time anomalies, and privilege escalation attempts.</w:t>
      </w:r>
    </w:p>
    <w:p w14:paraId="26AF2EEA"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Step 3: ML Model Training</w:t>
      </w:r>
    </w:p>
    <w:p w14:paraId="29A794A3"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Train initial models using labeled historical data (incident logs, CVE exploits). Reinforcement learning agents refine weights as analyst feedback accumulates.</w:t>
      </w:r>
    </w:p>
    <w:p w14:paraId="1CFDEB96"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Step 4: Integration with SOC Dashboards</w:t>
      </w:r>
    </w:p>
    <w:p w14:paraId="5443A013"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Expose the top-risk alerts through visual dashboards (Grafana or Kibana). Analysts can view correlation graphs, incident lineage, and affected business units.</w:t>
      </w:r>
    </w:p>
    <w:p w14:paraId="4160D6CA"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Step 5: Continuous Learning</w:t>
      </w:r>
    </w:p>
    <w:p w14:paraId="5B0CA026" w14:textId="10A0937E"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Deploy </w:t>
      </w:r>
      <w:proofErr w:type="spellStart"/>
      <w:r w:rsidRPr="009F5A33">
        <w:rPr>
          <w:rFonts w:ascii="Times New Roman" w:eastAsia="Times New Roman" w:hAnsi="Times New Roman" w:cs="Times New Roman"/>
          <w:kern w:val="0"/>
          <w14:ligatures w14:val="none"/>
        </w:rPr>
        <w:t>MLOps</w:t>
      </w:r>
      <w:proofErr w:type="spellEnd"/>
      <w:r w:rsidRPr="009F5A33">
        <w:rPr>
          <w:rFonts w:ascii="Times New Roman" w:eastAsia="Times New Roman" w:hAnsi="Times New Roman" w:cs="Times New Roman"/>
          <w:kern w:val="0"/>
          <w14:ligatures w14:val="none"/>
        </w:rPr>
        <w:t xml:space="preserve"> pipelines to retrain and redeploy models periodically as new threat data arrives, ensuring adaptability to emerging tactics, techniques, and procedures (TTPs) [1].</w:t>
      </w:r>
    </w:p>
    <w:p w14:paraId="0E68B444"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6. Benefits and Outcomes</w:t>
      </w:r>
    </w:p>
    <w:p w14:paraId="61D83BBD" w14:textId="77777777" w:rsidR="009F5A33" w:rsidRPr="009F5A33" w:rsidRDefault="009F5A33" w:rsidP="009F5A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Noise Reduction:</w:t>
      </w:r>
      <w:r w:rsidRPr="009F5A33">
        <w:rPr>
          <w:rFonts w:ascii="Times New Roman" w:eastAsia="Times New Roman" w:hAnsi="Times New Roman" w:cs="Times New Roman"/>
          <w:kern w:val="0"/>
          <w14:ligatures w14:val="none"/>
        </w:rPr>
        <w:t xml:space="preserve"> By filtering low-risk alerts, analysts focus on top 10–15% of incidents.</w:t>
      </w:r>
    </w:p>
    <w:p w14:paraId="3F78B3DA" w14:textId="77777777" w:rsidR="009F5A33" w:rsidRPr="009F5A33" w:rsidRDefault="009F5A33" w:rsidP="009F5A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Improved MTTR:</w:t>
      </w:r>
      <w:r w:rsidRPr="009F5A33">
        <w:rPr>
          <w:rFonts w:ascii="Times New Roman" w:eastAsia="Times New Roman" w:hAnsi="Times New Roman" w:cs="Times New Roman"/>
          <w:kern w:val="0"/>
          <w14:ligatures w14:val="none"/>
        </w:rPr>
        <w:t xml:space="preserve"> Automated triage reduces time-to-resolution by up to 40%.</w:t>
      </w:r>
    </w:p>
    <w:p w14:paraId="14988525" w14:textId="77777777" w:rsidR="009F5A33" w:rsidRPr="009F5A33" w:rsidRDefault="009F5A33" w:rsidP="009F5A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Business-Driven Security:</w:t>
      </w:r>
      <w:r w:rsidRPr="009F5A33">
        <w:rPr>
          <w:rFonts w:ascii="Times New Roman" w:eastAsia="Times New Roman" w:hAnsi="Times New Roman" w:cs="Times New Roman"/>
          <w:kern w:val="0"/>
          <w14:ligatures w14:val="none"/>
        </w:rPr>
        <w:t xml:space="preserve"> Risks are ranked based on potential organizational impact, aligning with executive KPIs.</w:t>
      </w:r>
    </w:p>
    <w:p w14:paraId="3A3892D7" w14:textId="77777777" w:rsidR="009F5A33" w:rsidRPr="009F5A33" w:rsidRDefault="009F5A33" w:rsidP="009F5A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lastRenderedPageBreak/>
        <w:t>Adaptive Defense:</w:t>
      </w:r>
      <w:r w:rsidRPr="009F5A33">
        <w:rPr>
          <w:rFonts w:ascii="Times New Roman" w:eastAsia="Times New Roman" w:hAnsi="Times New Roman" w:cs="Times New Roman"/>
          <w:kern w:val="0"/>
          <w14:ligatures w14:val="none"/>
        </w:rPr>
        <w:t xml:space="preserve"> ML-based scoring evolves with changing environments [2].</w:t>
      </w:r>
    </w:p>
    <w:p w14:paraId="128D2D20" w14:textId="1A4ADC4E" w:rsidR="009F5A33" w:rsidRPr="009F5A33" w:rsidRDefault="009F5A33" w:rsidP="009F5A3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b/>
          <w:bCs/>
          <w:kern w:val="0"/>
          <w14:ligatures w14:val="none"/>
        </w:rPr>
        <w:t>Auditability:</w:t>
      </w:r>
      <w:r w:rsidRPr="009F5A33">
        <w:rPr>
          <w:rFonts w:ascii="Times New Roman" w:eastAsia="Times New Roman" w:hAnsi="Times New Roman" w:cs="Times New Roman"/>
          <w:kern w:val="0"/>
          <w14:ligatures w14:val="none"/>
        </w:rPr>
        <w:t xml:space="preserve"> Data lineage and explainable AI models ensure regulatory compliance and transparency.</w:t>
      </w:r>
    </w:p>
    <w:p w14:paraId="4D08DB19"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7. Use Case Example: Multi-Cloud SOC</w:t>
      </w:r>
    </w:p>
    <w:p w14:paraId="51B7F6EA" w14:textId="1F9368BC"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A financial services enterprise with workloads across OCI, AWS, and Azure faced over 1.2 million monthly alerts. Implementing a data-driven risk prioritization model reduced false positives by 65%. Integration with IAM telemetry identified 12 high-risk insider activity patterns that were previously undetected. The system’s reinforcement feedback loop continuously refined model weights, producing near real-time risk dashboards for leadership review [1].</w:t>
      </w:r>
    </w:p>
    <w:p w14:paraId="19884C39"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8. Future Work</w:t>
      </w:r>
    </w:p>
    <w:p w14:paraId="78E59154" w14:textId="44FD766C"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Future iterations may integrate Generative AI models for contextual summarization—converting raw event logs into natural language summaries for SOC analysts. Additionally, federated learning could allow multi-cloud security data sharing without exposing raw telemetry, improving model accuracy while maintaining compliance with privacy regulations [2].</w:t>
      </w:r>
    </w:p>
    <w:p w14:paraId="1A0548F7" w14:textId="77777777" w:rsidR="009F5A33" w:rsidRPr="009F5A33" w:rsidRDefault="009F5A33" w:rsidP="009F5A3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5A33">
        <w:rPr>
          <w:rFonts w:ascii="Times New Roman" w:eastAsia="Times New Roman" w:hAnsi="Times New Roman" w:cs="Times New Roman"/>
          <w:b/>
          <w:bCs/>
          <w:kern w:val="0"/>
          <w:sz w:val="36"/>
          <w:szCs w:val="36"/>
          <w14:ligatures w14:val="none"/>
        </w:rPr>
        <w:t>9. Conclusion</w:t>
      </w:r>
    </w:p>
    <w:p w14:paraId="6C81648F" w14:textId="1AD7C125"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In modern cloud ecosystems, static and rule-based alert systems cannot sustain the speed or complexity of evolving cyber threats. A data-driven, risk-based prioritization model empowers Cloud SOCs to focus on what truly matters—protecting mission-critical assets through intelligent automation. By unifying telemetry, context, and analytics, security teams can transition from reactive firefighting to proactive, risk-informed defense [1].</w:t>
      </w:r>
    </w:p>
    <w:p w14:paraId="3AFBA647" w14:textId="77777777" w:rsidR="009F5A33" w:rsidRPr="009F5A33" w:rsidRDefault="009F5A33" w:rsidP="009F5A3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F5A33">
        <w:rPr>
          <w:rFonts w:ascii="Times New Roman" w:eastAsia="Times New Roman" w:hAnsi="Times New Roman" w:cs="Times New Roman"/>
          <w:b/>
          <w:bCs/>
          <w:kern w:val="0"/>
          <w:sz w:val="27"/>
          <w:szCs w:val="27"/>
          <w14:ligatures w14:val="none"/>
        </w:rPr>
        <w:t>References</w:t>
      </w:r>
    </w:p>
    <w:p w14:paraId="6326D406" w14:textId="77777777" w:rsidR="009F5A33" w:rsidRPr="009F5A33" w:rsidRDefault="009F5A33" w:rsidP="009F5A33">
      <w:pPr>
        <w:spacing w:before="100" w:beforeAutospacing="1" w:after="100" w:afterAutospacing="1" w:line="240" w:lineRule="auto"/>
        <w:rPr>
          <w:rFonts w:ascii="Times New Roman" w:eastAsia="Times New Roman" w:hAnsi="Times New Roman" w:cs="Times New Roman"/>
          <w:kern w:val="0"/>
          <w14:ligatures w14:val="none"/>
        </w:rPr>
      </w:pPr>
      <w:r w:rsidRPr="009F5A33">
        <w:rPr>
          <w:rFonts w:ascii="Times New Roman" w:eastAsia="Times New Roman" w:hAnsi="Times New Roman" w:cs="Times New Roman"/>
          <w:kern w:val="0"/>
          <w14:ligatures w14:val="none"/>
        </w:rPr>
        <w:t xml:space="preserve">[1] M. Sabottke, D. Rathbun, and A. </w:t>
      </w:r>
      <w:proofErr w:type="spellStart"/>
      <w:r w:rsidRPr="009F5A33">
        <w:rPr>
          <w:rFonts w:ascii="Times New Roman" w:eastAsia="Times New Roman" w:hAnsi="Times New Roman" w:cs="Times New Roman"/>
          <w:kern w:val="0"/>
          <w14:ligatures w14:val="none"/>
        </w:rPr>
        <w:t>Doupé</w:t>
      </w:r>
      <w:proofErr w:type="spellEnd"/>
      <w:r w:rsidRPr="009F5A33">
        <w:rPr>
          <w:rFonts w:ascii="Times New Roman" w:eastAsia="Times New Roman" w:hAnsi="Times New Roman" w:cs="Times New Roman"/>
          <w:kern w:val="0"/>
          <w14:ligatures w14:val="none"/>
        </w:rPr>
        <w:t xml:space="preserve">, </w:t>
      </w:r>
      <w:r w:rsidRPr="009F5A33">
        <w:rPr>
          <w:rFonts w:ascii="Times New Roman" w:eastAsia="Times New Roman" w:hAnsi="Times New Roman" w:cs="Times New Roman"/>
          <w:i/>
          <w:iCs/>
          <w:kern w:val="0"/>
          <w14:ligatures w14:val="none"/>
        </w:rPr>
        <w:t>“Data-Driven Threat Prioritization in Security Operations,”</w:t>
      </w:r>
      <w:r w:rsidRPr="009F5A33">
        <w:rPr>
          <w:rFonts w:ascii="Times New Roman" w:eastAsia="Times New Roman" w:hAnsi="Times New Roman" w:cs="Times New Roman"/>
          <w:kern w:val="0"/>
          <w14:ligatures w14:val="none"/>
        </w:rPr>
        <w:t xml:space="preserve"> IEEE Transactions on Dependable and Secure Computing, vol. 19, no. 3, pp. 567–580, 2022.</w:t>
      </w:r>
      <w:r w:rsidRPr="009F5A33">
        <w:rPr>
          <w:rFonts w:ascii="Times New Roman" w:eastAsia="Times New Roman" w:hAnsi="Times New Roman" w:cs="Times New Roman"/>
          <w:kern w:val="0"/>
          <w14:ligatures w14:val="none"/>
        </w:rPr>
        <w:br/>
        <w:t xml:space="preserve">[2] Gartner, </w:t>
      </w:r>
      <w:r w:rsidRPr="009F5A33">
        <w:rPr>
          <w:rFonts w:ascii="Times New Roman" w:eastAsia="Times New Roman" w:hAnsi="Times New Roman" w:cs="Times New Roman"/>
          <w:i/>
          <w:iCs/>
          <w:kern w:val="0"/>
          <w14:ligatures w14:val="none"/>
        </w:rPr>
        <w:t>“Implementing Data-Driven Security Operations in Multi-Cloud Environments,”</w:t>
      </w:r>
      <w:r w:rsidRPr="009F5A33">
        <w:rPr>
          <w:rFonts w:ascii="Times New Roman" w:eastAsia="Times New Roman" w:hAnsi="Times New Roman" w:cs="Times New Roman"/>
          <w:kern w:val="0"/>
          <w14:ligatures w14:val="none"/>
        </w:rPr>
        <w:t xml:space="preserve"> Gartner Research Report, 2024.</w:t>
      </w:r>
    </w:p>
    <w:p w14:paraId="2B2DB2EB" w14:textId="77777777" w:rsidR="00F04676" w:rsidRDefault="00F04676" w:rsidP="009F5A33">
      <w:pPr>
        <w:spacing w:line="240" w:lineRule="auto"/>
      </w:pPr>
    </w:p>
    <w:sectPr w:rsidR="00F046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01439"/>
    <w:multiLevelType w:val="multilevel"/>
    <w:tmpl w:val="C3A2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B3B9C"/>
    <w:multiLevelType w:val="multilevel"/>
    <w:tmpl w:val="2BD01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C37DBA"/>
    <w:multiLevelType w:val="multilevel"/>
    <w:tmpl w:val="3514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A54DC8"/>
    <w:multiLevelType w:val="multilevel"/>
    <w:tmpl w:val="4C44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503C92"/>
    <w:multiLevelType w:val="multilevel"/>
    <w:tmpl w:val="007E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631464">
    <w:abstractNumId w:val="0"/>
  </w:num>
  <w:num w:numId="2" w16cid:durableId="841359974">
    <w:abstractNumId w:val="1"/>
  </w:num>
  <w:num w:numId="3" w16cid:durableId="2063795022">
    <w:abstractNumId w:val="3"/>
  </w:num>
  <w:num w:numId="4" w16cid:durableId="1585606834">
    <w:abstractNumId w:val="4"/>
  </w:num>
  <w:num w:numId="5" w16cid:durableId="8068238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33"/>
    <w:rsid w:val="001E68C7"/>
    <w:rsid w:val="00253AC5"/>
    <w:rsid w:val="003609A5"/>
    <w:rsid w:val="0050258C"/>
    <w:rsid w:val="008E1AFB"/>
    <w:rsid w:val="009F5A33"/>
    <w:rsid w:val="00AB1EBF"/>
    <w:rsid w:val="00C41087"/>
    <w:rsid w:val="00D96409"/>
    <w:rsid w:val="00F04676"/>
    <w:rsid w:val="00F6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9134"/>
  <w15:chartTrackingRefBased/>
  <w15:docId w15:val="{D1967A82-DC4D-F94D-9F36-746079BCF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5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5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A33"/>
    <w:rPr>
      <w:rFonts w:eastAsiaTheme="majorEastAsia" w:cstheme="majorBidi"/>
      <w:color w:val="272727" w:themeColor="text1" w:themeTint="D8"/>
    </w:rPr>
  </w:style>
  <w:style w:type="paragraph" w:styleId="Title">
    <w:name w:val="Title"/>
    <w:basedOn w:val="Normal"/>
    <w:next w:val="Normal"/>
    <w:link w:val="TitleChar"/>
    <w:uiPriority w:val="10"/>
    <w:qFormat/>
    <w:rsid w:val="009F5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A33"/>
    <w:pPr>
      <w:spacing w:before="160"/>
      <w:jc w:val="center"/>
    </w:pPr>
    <w:rPr>
      <w:i/>
      <w:iCs/>
      <w:color w:val="404040" w:themeColor="text1" w:themeTint="BF"/>
    </w:rPr>
  </w:style>
  <w:style w:type="character" w:customStyle="1" w:styleId="QuoteChar">
    <w:name w:val="Quote Char"/>
    <w:basedOn w:val="DefaultParagraphFont"/>
    <w:link w:val="Quote"/>
    <w:uiPriority w:val="29"/>
    <w:rsid w:val="009F5A33"/>
    <w:rPr>
      <w:i/>
      <w:iCs/>
      <w:color w:val="404040" w:themeColor="text1" w:themeTint="BF"/>
    </w:rPr>
  </w:style>
  <w:style w:type="paragraph" w:styleId="ListParagraph">
    <w:name w:val="List Paragraph"/>
    <w:basedOn w:val="Normal"/>
    <w:uiPriority w:val="34"/>
    <w:qFormat/>
    <w:rsid w:val="009F5A33"/>
    <w:pPr>
      <w:ind w:left="720"/>
      <w:contextualSpacing/>
    </w:pPr>
  </w:style>
  <w:style w:type="character" w:styleId="IntenseEmphasis">
    <w:name w:val="Intense Emphasis"/>
    <w:basedOn w:val="DefaultParagraphFont"/>
    <w:uiPriority w:val="21"/>
    <w:qFormat/>
    <w:rsid w:val="009F5A33"/>
    <w:rPr>
      <w:i/>
      <w:iCs/>
      <w:color w:val="0F4761" w:themeColor="accent1" w:themeShade="BF"/>
    </w:rPr>
  </w:style>
  <w:style w:type="paragraph" w:styleId="IntenseQuote">
    <w:name w:val="Intense Quote"/>
    <w:basedOn w:val="Normal"/>
    <w:next w:val="Normal"/>
    <w:link w:val="IntenseQuoteChar"/>
    <w:uiPriority w:val="30"/>
    <w:qFormat/>
    <w:rsid w:val="009F5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A33"/>
    <w:rPr>
      <w:i/>
      <w:iCs/>
      <w:color w:val="0F4761" w:themeColor="accent1" w:themeShade="BF"/>
    </w:rPr>
  </w:style>
  <w:style w:type="character" w:styleId="IntenseReference">
    <w:name w:val="Intense Reference"/>
    <w:basedOn w:val="DefaultParagraphFont"/>
    <w:uiPriority w:val="32"/>
    <w:qFormat/>
    <w:rsid w:val="009F5A33"/>
    <w:rPr>
      <w:b/>
      <w:bCs/>
      <w:smallCaps/>
      <w:color w:val="0F4761" w:themeColor="accent1" w:themeShade="BF"/>
      <w:spacing w:val="5"/>
    </w:rPr>
  </w:style>
  <w:style w:type="character" w:styleId="Strong">
    <w:name w:val="Strong"/>
    <w:basedOn w:val="DefaultParagraphFont"/>
    <w:uiPriority w:val="22"/>
    <w:qFormat/>
    <w:rsid w:val="009F5A33"/>
    <w:rPr>
      <w:b/>
      <w:bCs/>
    </w:rPr>
  </w:style>
  <w:style w:type="paragraph" w:styleId="NormalWeb">
    <w:name w:val="Normal (Web)"/>
    <w:basedOn w:val="Normal"/>
    <w:uiPriority w:val="99"/>
    <w:semiHidden/>
    <w:unhideWhenUsed/>
    <w:rsid w:val="009F5A3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TMLPreformatted">
    <w:name w:val="HTML Preformatted"/>
    <w:basedOn w:val="Normal"/>
    <w:link w:val="HTMLPreformattedChar"/>
    <w:uiPriority w:val="99"/>
    <w:semiHidden/>
    <w:unhideWhenUsed/>
    <w:rsid w:val="009F5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9F5A33"/>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9F5A33"/>
    <w:rPr>
      <w:rFonts w:ascii="Courier New" w:eastAsia="Times New Roman" w:hAnsi="Courier New" w:cs="Courier New"/>
      <w:sz w:val="20"/>
      <w:szCs w:val="20"/>
    </w:rPr>
  </w:style>
  <w:style w:type="character" w:customStyle="1" w:styleId="hljs-addition">
    <w:name w:val="hljs-addition"/>
    <w:basedOn w:val="DefaultParagraphFont"/>
    <w:rsid w:val="009F5A33"/>
  </w:style>
  <w:style w:type="character" w:styleId="Emphasis">
    <w:name w:val="Emphasis"/>
    <w:basedOn w:val="DefaultParagraphFont"/>
    <w:uiPriority w:val="20"/>
    <w:qFormat/>
    <w:rsid w:val="009F5A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1291</Words>
  <Characters>7360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Girish Jambagi</dc:creator>
  <cp:keywords/>
  <dc:description/>
  <cp:lastModifiedBy>Girish Jambagi</cp:lastModifiedBy>
  <cp:revision>1</cp:revision>
  <dcterms:created xsi:type="dcterms:W3CDTF">2025-10-17T01:14:00Z</dcterms:created>
  <dcterms:modified xsi:type="dcterms:W3CDTF">2025-10-17T01:33:00Z</dcterms:modified>
</cp:coreProperties>
</file>